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251d5047840b2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r>
        <w:rPr>
          <w:rFonts w:ascii="Arial" w:hAnsi="Arial"/>
          <w:b/>
        </w:rPr>
        <w:t xml:space="preserve">SCHEDULE</w:t>
      </w:r>
    </w:p>
    <w:p>
      <w:r>
        <w:br/>
      </w:r>
    </w:p>
    <w:p>
      <w:pPr>
        <w:pStyle w:val="Heading5"/>
      </w:pPr>
      <w:r>
        <w:rPr>
          <w:rFonts w:ascii="Arial" w:hAnsi="Arial"/>
          <w:b/>
        </w:rPr>
        <w:t xml:space="preserve">Sep 17, 2025 Day 1 1:00 PM EDT</w:t>
      </w:r>
    </w:p>
    <w:p>
      <w:r>
        <w:br/>
      </w:r>
    </w:p>
    <w:p>
      <w:pPr>
        <w:pStyle w:val="Heading5"/>
      </w:pPr>
      <w:r>
        <w:rPr>
          <w:rFonts w:ascii="Arial" w:hAnsi="Arial"/>
        </w:rPr>
        <w:t xml:space="preserve">1:00 PM EDT </w:t>
      </w:r>
      <w:r>
        <w:rPr>
          <w:rFonts w:ascii="Arial" w:hAnsi="Arial"/>
          <w:b/>
        </w:rPr>
        <w:t xml:space="preserve">Objective and Overall Concepts for MD&amp;A</w:t>
      </w:r>
    </w:p>
    <w:p>
      <w:r>
        <w:rPr>
          <w:rFonts w:ascii="Arial" w:hAnsi="Arial"/>
        </w:rPr>
        <w:t xml:space="preserve">This session addresses the overall purpose and objective of MD&amp;A and reviews the underlying principles and sources of guidance used to prepare and review MD&amp;A. After completing this session, participants will be able to:</w:t>
      </w:r>
    </w:p>
    <w:p>
      <w:pPr>
        <w:pStyle w:val="ListParagraph"/>
        <w:numPr>
          <w:ilvl w:val="0"/>
          <w:numId w:val="2"/>
        </w:numPr>
      </w:pPr>
      <w:r>
        <w:rPr>
          <w:rFonts w:ascii="Arial" w:hAnsi="Arial"/>
        </w:rPr>
        <w:t xml:space="preserve">Articulate the objective of MD&amp;A disclosure</w:t>
      </w:r>
    </w:p>
    <w:p>
      <w:pPr>
        <w:pStyle w:val="ListParagraph"/>
        <w:numPr>
          <w:ilvl w:val="0"/>
          <w:numId w:val="2"/>
        </w:numPr>
      </w:pPr>
      <w:r>
        <w:rPr>
          <w:rFonts w:ascii="Arial" w:hAnsi="Arial"/>
        </w:rPr>
        <w:t xml:space="preserve">Utilize the core MD&amp;A requirements: Item 303 of Regulation S-K, FR-36, FR-72</w:t>
      </w:r>
    </w:p>
    <w:p>
      <w:pPr>
        <w:pStyle w:val="ListParagraph"/>
        <w:numPr>
          <w:ilvl w:val="0"/>
          <w:numId w:val="2"/>
        </w:numPr>
      </w:pPr>
      <w:r>
        <w:rPr>
          <w:rFonts w:ascii="Arial" w:hAnsi="Arial"/>
        </w:rPr>
        <w:t xml:space="preserve">Discuss the overall structure of MD&amp;A, including: </w:t>
      </w:r>
    </w:p>
    <w:p>
      <w:pPr>
        <w:pStyle w:val="ListParagraph"/>
        <w:numPr>
          <w:ilvl w:val="1"/>
          <w:numId w:val="3"/>
        </w:numPr>
        <w:ind w:left="1560"/>
      </w:pPr>
      <w:r>
        <w:rPr>
          <w:rFonts w:ascii="Arial" w:hAnsi="Arial"/>
        </w:rPr>
        <w:t xml:space="preserve">The three-pronged approach: liquidity, capital resources and results of operations </w:t>
      </w:r>
    </w:p>
    <w:p>
      <w:pPr>
        <w:pStyle w:val="ListParagraph"/>
        <w:numPr>
          <w:ilvl w:val="1"/>
          <w:numId w:val="3"/>
        </w:numPr>
        <w:ind w:left="1560"/>
      </w:pPr>
      <w:r>
        <w:rPr>
          <w:rFonts w:ascii="Arial" w:hAnsi="Arial"/>
        </w:rPr>
        <w:t xml:space="preserve">An executive-level overview</w:t>
      </w:r>
    </w:p>
    <w:p>
      <w:pPr>
        <w:pStyle w:val="ListParagraph"/>
        <w:numPr>
          <w:ilvl w:val="1"/>
          <w:numId w:val="3"/>
        </w:numPr>
        <w:ind w:left="1560"/>
      </w:pPr>
      <w:r>
        <w:rPr>
          <w:rFonts w:ascii="Arial" w:hAnsi="Arial"/>
        </w:rPr>
        <w:t xml:space="preserve">A historical analysis in each of the three prongs</w:t>
      </w:r>
    </w:p>
    <w:p>
      <w:pPr>
        <w:pStyle w:val="ListParagraph"/>
        <w:numPr>
          <w:ilvl w:val="1"/>
          <w:numId w:val="3"/>
        </w:numPr>
        <w:ind w:left="1560"/>
      </w:pPr>
      <w:r>
        <w:rPr>
          <w:rFonts w:ascii="Arial" w:hAnsi="Arial"/>
        </w:rPr>
        <w:t xml:space="preserve">A prospective discussion of each of the three prongs </w:t>
      </w:r>
    </w:p>
    <w:p>
      <w:pPr>
        <w:pStyle w:val="ListParagraph"/>
        <w:numPr>
          <w:ilvl w:val="0"/>
          <w:numId w:val="2"/>
        </w:numPr>
      </w:pPr>
      <w:r>
        <w:rPr>
          <w:rFonts w:ascii="Arial" w:hAnsi="Arial"/>
        </w:rPr>
        <w:t xml:space="preserve">Identify the requirements for forward-looking information: the known-trend, demand, event, commitment, and uncertainty disclosure</w:t>
      </w:r>
    </w:p>
    <w:p>
      <w:r>
        <w:br/>
      </w:r>
    </w:p>
    <w:p>
      <w:r>
        <w:br/>
      </w:r>
    </w:p>
    <w:p>
      <w:pPr>
        <w:pStyle w:val="Heading5"/>
      </w:pPr>
      <w:r>
        <w:rPr>
          <w:rFonts w:ascii="Arial" w:hAnsi="Arial"/>
        </w:rPr>
        <w:t xml:space="preserve">1:50 PM EDT </w:t>
      </w:r>
      <w:r>
        <w:rPr>
          <w:rFonts w:ascii="Arial" w:hAnsi="Arial"/>
          <w:b/>
        </w:rPr>
        <w:t xml:space="preserve">The Results of Operations Discussion</w:t>
      </w:r>
    </w:p>
    <w:p>
      <w:r>
        <w:rPr>
          <w:rFonts w:ascii="Arial" w:hAnsi="Arial"/>
        </w:rPr>
        <w:t xml:space="preserve">This session focuses on an in-depth discussion of results of operations </w:t>
      </w:r>
      <w:r>
        <w:rPr>
          <w:rFonts w:ascii="Arial" w:hAnsi="Arial"/>
        </w:rPr>
        <w:t xml:space="preserve">in MD&amp;A</w:t>
      </w:r>
      <w:r>
        <w:rPr>
          <w:rFonts w:ascii="Arial" w:hAnsi="Arial"/>
        </w:rPr>
        <w:t xml:space="preserve">, including changes in revenues and expenses, unusual and infrequent events and known trends and uncertainties.  After completing this session, participants will be able to:</w:t>
      </w:r>
      <w:r>
        <w:br/>
      </w:r>
    </w:p>
    <w:p>
      <w:pPr>
        <w:pStyle w:val="ListParagraph"/>
        <w:numPr>
          <w:ilvl w:val="0"/>
          <w:numId w:val="4"/>
        </w:numPr>
      </w:pPr>
      <w:r>
        <w:rPr>
          <w:rFonts w:ascii="Arial" w:hAnsi="Arial"/>
        </w:rPr>
        <w:t xml:space="preserve">Draft and review the year-by-year historical analysis </w:t>
      </w:r>
    </w:p>
    <w:p>
      <w:pPr>
        <w:pStyle w:val="ListParagraph"/>
        <w:numPr>
          <w:ilvl w:val="0"/>
          <w:numId w:val="5"/>
        </w:numPr>
      </w:pPr>
      <w:r>
        <w:rPr>
          <w:rFonts w:ascii="Arial" w:hAnsi="Arial"/>
        </w:rPr>
        <w:t xml:space="preserve">Build the discussion by segment, product line or other business components </w:t>
      </w:r>
    </w:p>
    <w:p>
      <w:pPr>
        <w:pStyle w:val="ListParagraph"/>
        <w:numPr>
          <w:ilvl w:val="0"/>
          <w:numId w:val="6"/>
        </w:numPr>
      </w:pPr>
      <w:r>
        <w:rPr>
          <w:rFonts w:ascii="Arial" w:hAnsi="Arial"/>
        </w:rPr>
        <w:t xml:space="preserve">Understand the SEC’s requirements for both qualitative and quantitative analysis </w:t>
      </w:r>
    </w:p>
    <w:p>
      <w:pPr>
        <w:pStyle w:val="ListParagraph"/>
        <w:numPr>
          <w:ilvl w:val="0"/>
          <w:numId w:val="7"/>
        </w:numPr>
      </w:pPr>
      <w:r>
        <w:rPr>
          <w:rFonts w:ascii="Arial" w:hAnsi="Arial"/>
        </w:rPr>
        <w:t xml:space="preserve">Structure the discussion of gross revenues – the price/volume/mix analysis and causal factors</w:t>
      </w:r>
    </w:p>
    <w:p>
      <w:pPr>
        <w:pStyle w:val="ListParagraph"/>
        <w:numPr>
          <w:ilvl w:val="0"/>
          <w:numId w:val="8"/>
        </w:numPr>
      </w:pPr>
      <w:r>
        <w:rPr>
          <w:rFonts w:ascii="Arial" w:hAnsi="Arial"/>
        </w:rPr>
        <w:t xml:space="preserve">Determine when to disclose unusual and non-recurring items: their cause and impact </w:t>
      </w:r>
    </w:p>
    <w:p>
      <w:pPr>
        <w:pStyle w:val="ListParagraph"/>
        <w:numPr>
          <w:ilvl w:val="0"/>
          <w:numId w:val="9"/>
        </w:numPr>
      </w:pPr>
      <w:r>
        <w:rPr>
          <w:rFonts w:ascii="Arial" w:hAnsi="Arial"/>
        </w:rPr>
        <w:t xml:space="preserve">Apply the probability/materiality test regarding known trends and uncertainties</w:t>
      </w:r>
    </w:p>
    <w:p>
      <w:pPr>
        <w:pStyle w:val="ListParagraph"/>
        <w:numPr>
          <w:ilvl w:val="0"/>
          <w:numId w:val="10"/>
        </w:numPr>
      </w:pPr>
      <w:r>
        <w:rPr>
          <w:rFonts w:ascii="Arial" w:hAnsi="Arial"/>
        </w:rPr>
        <w:t xml:space="preserve">Analyze the impact of an acquisition, a disposition, and the effect of exchange rate changes on the discussion </w:t>
      </w:r>
    </w:p>
    <w:p>
      <w:pPr>
        <w:pStyle w:val="ListParagraph"/>
        <w:numPr>
          <w:ilvl w:val="0"/>
          <w:numId w:val="11"/>
        </w:numPr>
      </w:pPr>
      <w:r>
        <w:rPr>
          <w:rFonts w:ascii="Arial" w:hAnsi="Arial"/>
        </w:rPr>
        <w:t xml:space="preserve">Understand lessons from MD&amp;A enforcement – the </w:t>
      </w:r>
      <w:r>
        <w:rPr>
          <w:rFonts w:ascii="Arial" w:hAnsi="Arial"/>
          <w:i/>
        </w:rPr>
        <w:t xml:space="preserve">Under Armour</w:t>
      </w:r>
      <w:r>
        <w:rPr>
          <w:rFonts w:ascii="Arial" w:hAnsi="Arial"/>
        </w:rPr>
        <w:t xml:space="preserve"> “known-trend” enforcement case, </w:t>
      </w:r>
      <w:r>
        <w:rPr>
          <w:rFonts w:ascii="Arial" w:hAnsi="Arial"/>
          <w:i/>
        </w:rPr>
        <w:t xml:space="preserve">NVIDIA</w:t>
      </w:r>
      <w:r>
        <w:rPr>
          <w:rFonts w:ascii="Arial" w:hAnsi="Arial"/>
        </w:rPr>
        <w:t xml:space="preserve">, </w:t>
      </w:r>
      <w:r>
        <w:rPr>
          <w:rFonts w:ascii="Arial" w:hAnsi="Arial"/>
          <w:i/>
        </w:rPr>
        <w:t xml:space="preserve">Sea World</w:t>
      </w:r>
      <w:r>
        <w:rPr>
          <w:rFonts w:ascii="Arial" w:hAnsi="Arial"/>
        </w:rPr>
        <w:t xml:space="preserve">, </w:t>
      </w:r>
      <w:r>
        <w:rPr>
          <w:rFonts w:ascii="Arial" w:hAnsi="Arial"/>
          <w:i/>
        </w:rPr>
        <w:t xml:space="preserve">Bank of America</w:t>
      </w:r>
      <w:r>
        <w:rPr>
          <w:rFonts w:ascii="Arial" w:hAnsi="Arial"/>
        </w:rPr>
        <w:t xml:space="preserve">, </w:t>
      </w:r>
      <w:r>
        <w:rPr>
          <w:rFonts w:ascii="Arial" w:hAnsi="Arial"/>
          <w:i/>
        </w:rPr>
        <w:t xml:space="preserve">Caterpillar</w:t>
      </w:r>
      <w:r>
        <w:rPr>
          <w:rFonts w:ascii="Arial" w:hAnsi="Arial"/>
        </w:rPr>
        <w:t xml:space="preserve">, </w:t>
      </w:r>
      <w:r>
        <w:rPr>
          <w:rFonts w:ascii="Arial" w:hAnsi="Arial"/>
          <w:i/>
        </w:rPr>
        <w:t xml:space="preserve">Sony</w:t>
      </w:r>
      <w:r>
        <w:rPr>
          <w:rFonts w:ascii="Arial" w:hAnsi="Arial"/>
        </w:rPr>
        <w:t xml:space="preserve">, and others</w:t>
      </w:r>
    </w:p>
    <w:p>
      <w:pPr>
        <w:pStyle w:val="ListParagraph"/>
        <w:numPr>
          <w:ilvl w:val="0"/>
          <w:numId w:val="12"/>
        </w:numPr>
      </w:pPr>
      <w:r>
        <w:rPr>
          <w:rFonts w:ascii="Arial" w:hAnsi="Arial"/>
        </w:rPr>
        <w:t xml:space="preserve">Review frequent comment areas and discuss disclosure exercises</w:t>
      </w:r>
    </w:p>
    <w:p>
      <w:r>
        <w:br/>
      </w:r>
      <w:r>
        <w:br/>
      </w:r>
    </w:p>
    <w:p>
      <w:r>
        <w:br/>
      </w:r>
    </w:p>
    <w:p>
      <w:pPr>
        <w:pStyle w:val="Heading5"/>
      </w:pPr>
      <w:r>
        <w:rPr>
          <w:rFonts w:ascii="Arial" w:hAnsi="Arial"/>
        </w:rPr>
        <w:t xml:space="preserve">2:30 PM EDT </w:t>
      </w:r>
      <w:r>
        <w:rPr>
          <w:rFonts w:ascii="Arial" w:hAnsi="Arial"/>
          <w:b/>
        </w:rPr>
        <w:t xml:space="preserve">Break</w:t>
      </w:r>
    </w:p>
    <w:p>
      <w:r>
        <w:br/>
      </w:r>
      <w:r>
        <w:br/>
      </w:r>
    </w:p>
    <w:p>
      <w:r>
        <w:br/>
      </w:r>
    </w:p>
    <w:p>
      <w:pPr>
        <w:pStyle w:val="Heading5"/>
      </w:pPr>
      <w:r>
        <w:rPr>
          <w:rFonts w:ascii="Arial" w:hAnsi="Arial"/>
        </w:rPr>
        <w:t xml:space="preserve">2:45 PM EDT </w:t>
      </w:r>
      <w:r>
        <w:rPr>
          <w:rFonts w:ascii="Arial" w:hAnsi="Arial"/>
          <w:b/>
        </w:rPr>
        <w:t xml:space="preserve">The Results of Operations Discussion (continued)</w:t>
      </w:r>
    </w:p>
    <w:p>
      <w:r>
        <w:br/>
      </w:r>
      <w:r>
        <w:br/>
      </w:r>
    </w:p>
    <w:p>
      <w:r>
        <w:br/>
      </w:r>
    </w:p>
    <w:p>
      <w:pPr>
        <w:pStyle w:val="Heading5"/>
      </w:pPr>
      <w:r>
        <w:rPr>
          <w:rFonts w:ascii="Arial" w:hAnsi="Arial"/>
        </w:rPr>
        <w:t xml:space="preserve">3:10 PM EDT </w:t>
      </w:r>
      <w:r>
        <w:rPr>
          <w:rFonts w:ascii="Arial" w:hAnsi="Arial"/>
          <w:b/>
        </w:rPr>
        <w:t xml:space="preserve">The Liquidity and Capital Resources Discussion and Other MD&amp;A Topics</w:t>
      </w:r>
    </w:p>
    <w:p>
      <w:r>
        <w:rPr>
          <w:rFonts w:ascii="Arial" w:hAnsi="Arial"/>
        </w:rPr>
        <w:t xml:space="preserve">This session focuses on an in-depth discussion of liquidity and capital resources in MD&amp;A, including addressing cash requirements and sources and how to incorporate contractual obligations in the discussion</w:t>
      </w:r>
      <w:r>
        <w:rPr>
          <w:rFonts w:ascii="Arial" w:hAnsi="Arial"/>
        </w:rPr>
        <w:t xml:space="preserve">,</w:t>
      </w:r>
      <w:r>
        <w:rPr>
          <w:rFonts w:ascii="Arial" w:hAnsi="Arial"/>
        </w:rPr>
        <w:t xml:space="preserve"> as well as other miscellaneous MD&amp;A topics.  After completing this session, participants will be able to:</w:t>
      </w:r>
      <w:r>
        <w:br/>
      </w:r>
    </w:p>
    <w:p>
      <w:pPr>
        <w:pStyle w:val="ListParagraph"/>
        <w:numPr>
          <w:ilvl w:val="0"/>
          <w:numId w:val="13"/>
        </w:numPr>
      </w:pPr>
      <w:r>
        <w:rPr>
          <w:rFonts w:ascii="Arial" w:hAnsi="Arial"/>
        </w:rPr>
        <w:t xml:space="preserve">Understand the overall focus on cash requirements and sources</w:t>
      </w:r>
    </w:p>
    <w:p>
      <w:pPr>
        <w:pStyle w:val="ListParagraph"/>
        <w:numPr>
          <w:ilvl w:val="0"/>
          <w:numId w:val="14"/>
        </w:numPr>
      </w:pPr>
      <w:r>
        <w:rPr>
          <w:rFonts w:ascii="Arial" w:hAnsi="Arial"/>
        </w:rPr>
        <w:t xml:space="preserve">Discuss the disclosure of the availability of funds to meet future requirements </w:t>
      </w:r>
    </w:p>
    <w:p>
      <w:pPr>
        <w:pStyle w:val="ListParagraph"/>
        <w:numPr>
          <w:ilvl w:val="0"/>
          <w:numId w:val="15"/>
        </w:numPr>
      </w:pPr>
      <w:r>
        <w:rPr>
          <w:rFonts w:ascii="Arial" w:hAnsi="Arial"/>
        </w:rPr>
        <w:t xml:space="preserve">Analyze short-term vs. long-term liquidity requirements  </w:t>
      </w:r>
    </w:p>
    <w:p>
      <w:pPr>
        <w:pStyle w:val="ListParagraph"/>
        <w:numPr>
          <w:ilvl w:val="0"/>
          <w:numId w:val="16"/>
        </w:numPr>
      </w:pPr>
      <w:r>
        <w:rPr>
          <w:rFonts w:ascii="Arial" w:hAnsi="Arial"/>
        </w:rPr>
        <w:t xml:space="preserve">Determine the appropriate level of analysis of the cash flow statement for the past three years </w:t>
      </w:r>
    </w:p>
    <w:p>
      <w:pPr>
        <w:pStyle w:val="ListParagraph"/>
        <w:numPr>
          <w:ilvl w:val="0"/>
          <w:numId w:val="17"/>
        </w:numPr>
      </w:pPr>
      <w:r>
        <w:rPr>
          <w:rFonts w:ascii="Arial" w:hAnsi="Arial"/>
        </w:rPr>
        <w:t xml:space="preserve">Identify requirements to disclose changes in liquidity during the current year </w:t>
      </w:r>
    </w:p>
    <w:p>
      <w:pPr>
        <w:pStyle w:val="ListParagraph"/>
        <w:numPr>
          <w:ilvl w:val="0"/>
          <w:numId w:val="18"/>
        </w:numPr>
      </w:pPr>
      <w:r>
        <w:rPr>
          <w:rFonts w:ascii="Arial" w:hAnsi="Arial"/>
        </w:rPr>
        <w:t xml:space="preserve">Assess how a projected deficiency in future requirements must be disclosed</w:t>
      </w:r>
    </w:p>
    <w:p>
      <w:pPr>
        <w:pStyle w:val="ListParagraph"/>
        <w:numPr>
          <w:ilvl w:val="0"/>
          <w:numId w:val="19"/>
        </w:numPr>
      </w:pPr>
      <w:r>
        <w:rPr>
          <w:rFonts w:ascii="Arial" w:hAnsi="Arial"/>
        </w:rPr>
        <w:t xml:space="preserve">Articulate the requirements for critical accounting estimate disclosures</w:t>
      </w:r>
    </w:p>
    <w:p>
      <w:pPr>
        <w:pStyle w:val="ListParagraph"/>
        <w:numPr>
          <w:ilvl w:val="0"/>
          <w:numId w:val="20"/>
        </w:numPr>
      </w:pPr>
      <w:r>
        <w:rPr>
          <w:rFonts w:ascii="Arial" w:hAnsi="Arial"/>
        </w:rPr>
        <w:t xml:space="preserve">Understand other disclosure issues in MD&amp;A, including:</w:t>
      </w:r>
    </w:p>
    <w:p>
      <w:pPr>
        <w:pStyle w:val="ListParagraph"/>
        <w:numPr>
          <w:ilvl w:val="0"/>
          <w:numId w:val="21"/>
        </w:numPr>
      </w:pPr>
      <w:r>
        <w:rPr>
          <w:rFonts w:ascii="Arial" w:hAnsi="Arial"/>
        </w:rPr>
        <w:t xml:space="preserve">Off balance sheet risks</w:t>
      </w:r>
    </w:p>
    <w:p>
      <w:pPr>
        <w:pStyle w:val="ListParagraph"/>
        <w:numPr>
          <w:ilvl w:val="0"/>
          <w:numId w:val="22"/>
        </w:numPr>
      </w:pPr>
      <w:r>
        <w:rPr>
          <w:rFonts w:ascii="Arial" w:hAnsi="Arial"/>
        </w:rPr>
        <w:t xml:space="preserve">T</w:t>
      </w:r>
      <w:r>
        <w:rPr>
          <w:rFonts w:ascii="Arial" w:hAnsi="Arial"/>
        </w:rPr>
        <w:t xml:space="preserve">he impact </w:t>
      </w:r>
      <w:r>
        <w:rPr>
          <w:rFonts w:ascii="Arial" w:hAnsi="Arial"/>
        </w:rPr>
        <w:t xml:space="preserve">of new accounting standards </w:t>
      </w:r>
      <w:r>
        <w:rPr>
          <w:rFonts w:ascii="Arial" w:hAnsi="Arial"/>
        </w:rPr>
        <w:t xml:space="preserve">(SAB 74)</w:t>
      </w:r>
    </w:p>
    <w:p>
      <w:pPr>
        <w:pStyle w:val="ListParagraph"/>
        <w:numPr>
          <w:ilvl w:val="0"/>
          <w:numId w:val="23"/>
        </w:numPr>
      </w:pPr>
      <w:r>
        <w:rPr>
          <w:rFonts w:ascii="Arial" w:hAnsi="Arial"/>
        </w:rPr>
        <w:t xml:space="preserve">The use of cautionary language under the PSLRA</w:t>
      </w:r>
    </w:p>
    <w:p>
      <w:pPr>
        <w:pStyle w:val="ListParagraph"/>
        <w:numPr>
          <w:ilvl w:val="0"/>
          <w:numId w:val="24"/>
        </w:numPr>
      </w:pPr>
      <w:r>
        <w:rPr>
          <w:rFonts w:ascii="Arial" w:hAnsi="Arial"/>
        </w:rPr>
        <w:t xml:space="preserve">Review frequent comment areas and discuss disclosure exercises</w:t>
      </w:r>
    </w:p>
    <w:p>
      <w:r>
        <w:br/>
      </w:r>
      <w:r>
        <w:br/>
      </w:r>
    </w:p>
    <w:p>
      <w:r>
        <w:br/>
      </w:r>
    </w:p>
    <w:p>
      <w:pPr>
        <w:pStyle w:val="Heading5"/>
      </w:pPr>
      <w:r>
        <w:rPr>
          <w:rFonts w:ascii="Arial" w:hAnsi="Arial"/>
        </w:rPr>
        <w:t xml:space="preserve">4:00 PM EDT </w:t>
      </w:r>
      <w:r>
        <w:rPr>
          <w:rFonts w:ascii="Arial" w:hAnsi="Arial"/>
          <w:b/>
        </w:rPr>
        <w:t xml:space="preserve">Adjourn</w:t>
      </w:r>
    </w:p>
    <w:p>
      <w:r>
        <w:br/>
      </w:r>
    </w:p>
    <w:sectPr>
      <w:headerReference xmlns:r="http://schemas.openxmlformats.org/officeDocument/2006/relationships" w:type="default" r:id="rId2"/>
      <w:footerReference xmlns:r="http://schemas.openxmlformats.org/officeDocument/2006/relationships" w:type="default" r:id="rId3"/>
      <w:headerReference xmlns:r="http://schemas.openxmlformats.org/officeDocument/2006/relationships" w:type="even" r:id="rId4"/>
      <w:footerReference xmlns:r="http://schemas.openxmlformats.org/officeDocument/2006/relationships" w:type="even" r:id="rId5"/>
    </w:sectPr>
  </w:body>
</w:document>
</file>

<file path=word/footer1.xml><?xml version="1.0" encoding="utf-8"?>
<w:ftr xmlns:w="http://schemas.openxmlformats.org/wordprocessingml/2006/main">
  <w:p>
    <w:pPr>
      <w:pStyle w:val="Footer"/>
    </w:pPr>
    <w:r>
      <w:t xml:space="preserve">Page </w:t>
      <w:fldSimple w:instr="Page"/>
      <w:t xml:space="preserve"> of </w:t>
      <w:fldSimple w:instr="NUMPAGES"/>
    </w:r>
  </w:p>
</w:ftr>
</file>

<file path=word/footer2.xml><?xml version="1.0" encoding="utf-8"?>
<w:ftr xmlns:w="http://schemas.openxmlformats.org/wordprocessingml/2006/main">
  <w:p>
    <w:pPr>
      <w:pStyle w:val="Footer"/>
    </w:pPr>
    <w:r>
      <w:t xml:space="preserve">Page </w:t>
      <w:fldSimple w:instr="Page"/>
      <w:t xml:space="preserve"> of </w:t>
      <w:fldSimple w:instr="NUMPAGES"/>
    </w:r>
  </w:p>
</w:ftr>
</file>

<file path=word/header1.xml><?xml version="1.0" encoding="utf-8"?>
<w:hdr xmlns:w="http://schemas.openxmlformats.org/wordprocessingml/2006/main">
  <w:p>
    <w:pPr>
      <w:pStyle w:val="Header"/>
    </w:pPr>
    <w:r>
      <w:t>Practising Law Institute</w:t>
      <w:br/>
      <w:t>MD&amp;A SEC Reporting Essentials Workshop 2025</w:t>
      <w:br/>
      <w:t/>
      <w:br/>
      <w:t>From the Convenience of your Home or Office</w:t>
      <w:br/>
    </w:r>
  </w:p>
</w:hdr>
</file>

<file path=word/header2.xml><?xml version="1.0" encoding="utf-8"?>
<w:hdr xmlns:w="http://schemas.openxmlformats.org/wordprocessingml/2006/main">
  <w:p>
    <w:pPr>
      <w:pStyle w:val="Header"/>
    </w:pPr>
    <w:r>
      <w:t>Practising Law Institute</w:t>
      <w:br/>
      <w:t>MD&amp;A SEC Reporting Essentials Workshop 2025</w:t>
      <w:br/>
      <w:t/>
      <w:br/>
      <w:t>From the Convenience of your Home or Office</w:t>
      <w:br/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evenAndOddHeaders/>
</w:settings>
</file>

<file path=word/styles.xml><?xml version="1.0" encoding="utf-8"?>
<w:styles xmlns:w="http://schemas.openxmlformats.org/wordprocessingml/2006/main">
  <w:style xmlns:w="http://schemas.openxmlformats.org/wordprocessingml/2006/main"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xmlns:w="http://schemas.openxmlformats.org/wordprocessingml/2006/main" w:type="paragraph" w:styleId="ListParagraph">
    <w:name w:val="List Paragraph"/>
    <w:basedOn w:val="Normal"/>
    <w:qFormat/>
    <w:pPr>
      <w:ind w:star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1" /><Relationship Type="http://schemas.openxmlformats.org/officeDocument/2006/relationships/styles" Target="/word/styles.xml" Id="R88633e94665d46fc" /><Relationship Type="http://schemas.openxmlformats.org/officeDocument/2006/relationships/numbering" Target="/word/numbering.xml" Id="Raa27481ce19c4571" /><Relationship Type="http://schemas.openxmlformats.org/officeDocument/2006/relationships/header" Target="/word/header1.xml" Id="rId2" /><Relationship Type="http://schemas.openxmlformats.org/officeDocument/2006/relationships/header" Target="/word/header2.xml" Id="rId4" /><Relationship Type="http://schemas.openxmlformats.org/officeDocument/2006/relationships/footer" Target="/word/footer1.xml" Id="rId3" /><Relationship Type="http://schemas.openxmlformats.org/officeDocument/2006/relationships/footer" Target="/word/footer2.xml" Id="rId5" /></Relationships>
</file>